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D2290F" w14:textId="77777777" w:rsidTr="00F862D6">
        <w:tc>
          <w:tcPr>
            <w:tcW w:w="1020" w:type="dxa"/>
          </w:tcPr>
          <w:p w14:paraId="41B8481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71D568" wp14:editId="2BA78A3F">
                      <wp:simplePos x="0" y="0"/>
                      <wp:positionH relativeFrom="page">
                        <wp:posOffset>2948940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060A6E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71D5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2.2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xhWaB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4060A6E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5B2AC8A" w14:textId="77777777" w:rsidR="00F64786" w:rsidRDefault="00F64786" w:rsidP="0077673A"/>
        </w:tc>
        <w:tc>
          <w:tcPr>
            <w:tcW w:w="823" w:type="dxa"/>
          </w:tcPr>
          <w:p w14:paraId="42921295" w14:textId="77777777" w:rsidR="00F64786" w:rsidRDefault="00F64786" w:rsidP="0077673A"/>
        </w:tc>
        <w:tc>
          <w:tcPr>
            <w:tcW w:w="3685" w:type="dxa"/>
          </w:tcPr>
          <w:p w14:paraId="78DFBFE8" w14:textId="77777777" w:rsidR="00F64786" w:rsidRDefault="00F64786" w:rsidP="0077673A"/>
        </w:tc>
      </w:tr>
      <w:tr w:rsidR="00F862D6" w14:paraId="168D669A" w14:textId="77777777" w:rsidTr="00596C7E">
        <w:tc>
          <w:tcPr>
            <w:tcW w:w="1020" w:type="dxa"/>
          </w:tcPr>
          <w:p w14:paraId="2B7DEF01" w14:textId="77777777" w:rsidR="00F862D6" w:rsidRDefault="00F862D6" w:rsidP="0077673A"/>
        </w:tc>
        <w:tc>
          <w:tcPr>
            <w:tcW w:w="2552" w:type="dxa"/>
          </w:tcPr>
          <w:p w14:paraId="1946C8F1" w14:textId="77777777" w:rsidR="00F862D6" w:rsidRDefault="00F862D6" w:rsidP="00764595"/>
        </w:tc>
        <w:tc>
          <w:tcPr>
            <w:tcW w:w="823" w:type="dxa"/>
          </w:tcPr>
          <w:p w14:paraId="4B977548" w14:textId="77777777" w:rsidR="00F862D6" w:rsidRDefault="00F862D6" w:rsidP="0077673A"/>
        </w:tc>
        <w:tc>
          <w:tcPr>
            <w:tcW w:w="3685" w:type="dxa"/>
            <w:vMerge w:val="restart"/>
          </w:tcPr>
          <w:p w14:paraId="0C7B19AF" w14:textId="77777777" w:rsidR="00596C7E" w:rsidRDefault="00596C7E" w:rsidP="00596C7E">
            <w:pPr>
              <w:rPr>
                <w:rStyle w:val="Potovnadresa"/>
              </w:rPr>
            </w:pPr>
          </w:p>
          <w:p w14:paraId="69950F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D09EC" w14:paraId="70B8C7CE" w14:textId="77777777" w:rsidTr="00F862D6">
        <w:tc>
          <w:tcPr>
            <w:tcW w:w="1020" w:type="dxa"/>
          </w:tcPr>
          <w:p w14:paraId="49A5DDF6" w14:textId="754161A7" w:rsidR="00BD09EC" w:rsidRPr="003E6B9A" w:rsidRDefault="00BD09EC" w:rsidP="00BD09EC">
            <w:r w:rsidRPr="003E6B9A">
              <w:t>Naše zn.</w:t>
            </w:r>
          </w:p>
        </w:tc>
        <w:tc>
          <w:tcPr>
            <w:tcW w:w="2552" w:type="dxa"/>
          </w:tcPr>
          <w:p w14:paraId="7B411329" w14:textId="39AD4680" w:rsidR="00BD09EC" w:rsidRPr="003E6B9A" w:rsidRDefault="00135D95" w:rsidP="006A2E97">
            <w:r>
              <w:rPr>
                <w:rFonts w:ascii="Helvetica" w:hAnsi="Helvetica"/>
              </w:rPr>
              <w:t>8000</w:t>
            </w:r>
            <w:bookmarkStart w:id="0" w:name="_GoBack"/>
            <w:bookmarkEnd w:id="0"/>
            <w:r w:rsidR="006A2E97" w:rsidRPr="006A2E97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0A890236" w14:textId="77777777" w:rsidR="00BD09EC" w:rsidRDefault="00BD09EC" w:rsidP="00BD09EC"/>
        </w:tc>
        <w:tc>
          <w:tcPr>
            <w:tcW w:w="3685" w:type="dxa"/>
            <w:vMerge/>
          </w:tcPr>
          <w:p w14:paraId="45267DE6" w14:textId="77777777" w:rsidR="00BD09EC" w:rsidRDefault="00BD09EC" w:rsidP="00BD09EC"/>
        </w:tc>
      </w:tr>
      <w:tr w:rsidR="00BD09EC" w14:paraId="47FC32DB" w14:textId="77777777" w:rsidTr="00F862D6">
        <w:tc>
          <w:tcPr>
            <w:tcW w:w="1020" w:type="dxa"/>
          </w:tcPr>
          <w:p w14:paraId="7BD60F36" w14:textId="0C963095" w:rsidR="00BD09EC" w:rsidRDefault="00BD09EC" w:rsidP="00BD09EC">
            <w:r>
              <w:t>Listů/příloh</w:t>
            </w:r>
          </w:p>
        </w:tc>
        <w:tc>
          <w:tcPr>
            <w:tcW w:w="2552" w:type="dxa"/>
          </w:tcPr>
          <w:p w14:paraId="5E1281AD" w14:textId="1559D299" w:rsidR="00BD09EC" w:rsidRPr="003E6B9A" w:rsidRDefault="00DA73DE" w:rsidP="00BD09EC">
            <w:r>
              <w:t>8/4</w:t>
            </w:r>
          </w:p>
        </w:tc>
        <w:tc>
          <w:tcPr>
            <w:tcW w:w="823" w:type="dxa"/>
          </w:tcPr>
          <w:p w14:paraId="0705BBD1" w14:textId="77777777" w:rsidR="00BD09EC" w:rsidRDefault="00BD09EC" w:rsidP="00BD09EC"/>
        </w:tc>
        <w:tc>
          <w:tcPr>
            <w:tcW w:w="3685" w:type="dxa"/>
            <w:vMerge/>
          </w:tcPr>
          <w:p w14:paraId="0202FEF8" w14:textId="77777777" w:rsidR="00BD09EC" w:rsidRDefault="00BD09EC" w:rsidP="00BD09EC">
            <w:pPr>
              <w:rPr>
                <w:noProof/>
              </w:rPr>
            </w:pPr>
          </w:p>
        </w:tc>
      </w:tr>
      <w:tr w:rsidR="00BD09EC" w14:paraId="11259A56" w14:textId="77777777" w:rsidTr="00B23CA3">
        <w:trPr>
          <w:trHeight w:val="77"/>
        </w:trPr>
        <w:tc>
          <w:tcPr>
            <w:tcW w:w="1020" w:type="dxa"/>
          </w:tcPr>
          <w:p w14:paraId="3137CF55" w14:textId="77777777" w:rsidR="00BD09EC" w:rsidRDefault="00BD09EC" w:rsidP="00BD09EC"/>
        </w:tc>
        <w:tc>
          <w:tcPr>
            <w:tcW w:w="2552" w:type="dxa"/>
          </w:tcPr>
          <w:p w14:paraId="4519BD34" w14:textId="77777777" w:rsidR="00BD09EC" w:rsidRPr="003E6B9A" w:rsidRDefault="00BD09EC" w:rsidP="00BD09EC"/>
        </w:tc>
        <w:tc>
          <w:tcPr>
            <w:tcW w:w="823" w:type="dxa"/>
          </w:tcPr>
          <w:p w14:paraId="077C5F1E" w14:textId="77777777" w:rsidR="00BD09EC" w:rsidRDefault="00BD09EC" w:rsidP="00BD09EC"/>
        </w:tc>
        <w:tc>
          <w:tcPr>
            <w:tcW w:w="3685" w:type="dxa"/>
            <w:vMerge/>
          </w:tcPr>
          <w:p w14:paraId="4959B29A" w14:textId="77777777" w:rsidR="00BD09EC" w:rsidRDefault="00BD09EC" w:rsidP="00BD09EC"/>
        </w:tc>
      </w:tr>
      <w:tr w:rsidR="00BD09EC" w14:paraId="29D3F8E9" w14:textId="77777777" w:rsidTr="00F862D6">
        <w:tc>
          <w:tcPr>
            <w:tcW w:w="1020" w:type="dxa"/>
          </w:tcPr>
          <w:p w14:paraId="6A9E874B" w14:textId="3E333D21" w:rsidR="00BD09EC" w:rsidRDefault="00BD09EC" w:rsidP="00BD09EC">
            <w:r>
              <w:t>Vyřizuje</w:t>
            </w:r>
          </w:p>
        </w:tc>
        <w:tc>
          <w:tcPr>
            <w:tcW w:w="2552" w:type="dxa"/>
          </w:tcPr>
          <w:p w14:paraId="5EB92EF9" w14:textId="4EBD00F7" w:rsidR="00BD09EC" w:rsidRPr="003E6B9A" w:rsidRDefault="00BD09EC" w:rsidP="00BD09EC">
            <w:r>
              <w:t>JUDr. Jaroslav Klimeš</w:t>
            </w:r>
          </w:p>
        </w:tc>
        <w:tc>
          <w:tcPr>
            <w:tcW w:w="823" w:type="dxa"/>
          </w:tcPr>
          <w:p w14:paraId="014BE16D" w14:textId="77777777" w:rsidR="00BD09EC" w:rsidRDefault="00BD09EC" w:rsidP="00BD09EC"/>
        </w:tc>
        <w:tc>
          <w:tcPr>
            <w:tcW w:w="3685" w:type="dxa"/>
            <w:vMerge/>
          </w:tcPr>
          <w:p w14:paraId="5713B357" w14:textId="77777777" w:rsidR="00BD09EC" w:rsidRDefault="00BD09EC" w:rsidP="00BD09EC"/>
        </w:tc>
      </w:tr>
      <w:tr w:rsidR="00BD09EC" w14:paraId="0D72A0B0" w14:textId="77777777" w:rsidTr="00F862D6">
        <w:tc>
          <w:tcPr>
            <w:tcW w:w="1020" w:type="dxa"/>
          </w:tcPr>
          <w:p w14:paraId="4400BB97" w14:textId="77777777" w:rsidR="00BD09EC" w:rsidRDefault="00BD09EC" w:rsidP="00BD09EC"/>
        </w:tc>
        <w:tc>
          <w:tcPr>
            <w:tcW w:w="2552" w:type="dxa"/>
          </w:tcPr>
          <w:p w14:paraId="6B296B7E" w14:textId="77777777" w:rsidR="00BD09EC" w:rsidRPr="003E6B9A" w:rsidRDefault="00BD09EC" w:rsidP="00BD09EC"/>
        </w:tc>
        <w:tc>
          <w:tcPr>
            <w:tcW w:w="823" w:type="dxa"/>
          </w:tcPr>
          <w:p w14:paraId="2F0DA03C" w14:textId="77777777" w:rsidR="00BD09EC" w:rsidRDefault="00BD09EC" w:rsidP="00BD09EC"/>
        </w:tc>
        <w:tc>
          <w:tcPr>
            <w:tcW w:w="3685" w:type="dxa"/>
            <w:vMerge/>
          </w:tcPr>
          <w:p w14:paraId="38C8E128" w14:textId="77777777" w:rsidR="00BD09EC" w:rsidRDefault="00BD09EC" w:rsidP="00BD09EC"/>
        </w:tc>
      </w:tr>
      <w:tr w:rsidR="00BD09EC" w14:paraId="51BD450A" w14:textId="77777777" w:rsidTr="00F862D6">
        <w:tc>
          <w:tcPr>
            <w:tcW w:w="1020" w:type="dxa"/>
          </w:tcPr>
          <w:p w14:paraId="018B3BA9" w14:textId="3FAC4D9D" w:rsidR="00BD09EC" w:rsidRDefault="00BD09EC" w:rsidP="00BD09EC">
            <w:r>
              <w:t>Mobil</w:t>
            </w:r>
          </w:p>
        </w:tc>
        <w:tc>
          <w:tcPr>
            <w:tcW w:w="2552" w:type="dxa"/>
          </w:tcPr>
          <w:p w14:paraId="557C6CF4" w14:textId="502A6497" w:rsidR="00BD09EC" w:rsidRPr="003E6B9A" w:rsidRDefault="00BD09EC" w:rsidP="00BD09EC">
            <w:r>
              <w:t>+420 722 819 305</w:t>
            </w:r>
          </w:p>
        </w:tc>
        <w:tc>
          <w:tcPr>
            <w:tcW w:w="823" w:type="dxa"/>
          </w:tcPr>
          <w:p w14:paraId="216CAD14" w14:textId="77777777" w:rsidR="00BD09EC" w:rsidRDefault="00BD09EC" w:rsidP="00BD09EC"/>
        </w:tc>
        <w:tc>
          <w:tcPr>
            <w:tcW w:w="3685" w:type="dxa"/>
            <w:vMerge/>
          </w:tcPr>
          <w:p w14:paraId="61388E70" w14:textId="77777777" w:rsidR="00BD09EC" w:rsidRDefault="00BD09EC" w:rsidP="00BD09EC"/>
        </w:tc>
      </w:tr>
      <w:tr w:rsidR="00BD09EC" w14:paraId="6C86F33B" w14:textId="77777777" w:rsidTr="00F862D6">
        <w:tc>
          <w:tcPr>
            <w:tcW w:w="1020" w:type="dxa"/>
          </w:tcPr>
          <w:p w14:paraId="650E6F1E" w14:textId="12E4A41E" w:rsidR="00BD09EC" w:rsidRDefault="00BD09EC" w:rsidP="00BD09EC">
            <w:r>
              <w:t>E-mail</w:t>
            </w:r>
          </w:p>
        </w:tc>
        <w:tc>
          <w:tcPr>
            <w:tcW w:w="2552" w:type="dxa"/>
          </w:tcPr>
          <w:p w14:paraId="75C9AD9C" w14:textId="6878C9F8" w:rsidR="00BD09EC" w:rsidRPr="003E6B9A" w:rsidRDefault="00BD09EC" w:rsidP="00BD09EC">
            <w:r>
              <w:t>KlimesJa@seznam.cz</w:t>
            </w:r>
          </w:p>
        </w:tc>
        <w:tc>
          <w:tcPr>
            <w:tcW w:w="823" w:type="dxa"/>
          </w:tcPr>
          <w:p w14:paraId="55162019" w14:textId="77777777" w:rsidR="00BD09EC" w:rsidRDefault="00BD09EC" w:rsidP="00BD09EC"/>
        </w:tc>
        <w:tc>
          <w:tcPr>
            <w:tcW w:w="3685" w:type="dxa"/>
            <w:vMerge/>
          </w:tcPr>
          <w:p w14:paraId="4CDA449C" w14:textId="77777777" w:rsidR="00BD09EC" w:rsidRDefault="00BD09EC" w:rsidP="00BD09EC"/>
        </w:tc>
      </w:tr>
      <w:tr w:rsidR="009A7568" w14:paraId="21EFBF98" w14:textId="77777777" w:rsidTr="00F862D6">
        <w:tc>
          <w:tcPr>
            <w:tcW w:w="1020" w:type="dxa"/>
          </w:tcPr>
          <w:p w14:paraId="102E011E" w14:textId="77777777" w:rsidR="009A7568" w:rsidRDefault="009A7568" w:rsidP="009A7568"/>
        </w:tc>
        <w:tc>
          <w:tcPr>
            <w:tcW w:w="2552" w:type="dxa"/>
          </w:tcPr>
          <w:p w14:paraId="4FED97EA" w14:textId="77777777" w:rsidR="009A7568" w:rsidRPr="003E6B9A" w:rsidRDefault="009A7568" w:rsidP="009A7568"/>
        </w:tc>
        <w:tc>
          <w:tcPr>
            <w:tcW w:w="823" w:type="dxa"/>
          </w:tcPr>
          <w:p w14:paraId="68E9D8CD" w14:textId="77777777" w:rsidR="009A7568" w:rsidRDefault="009A7568" w:rsidP="009A7568"/>
        </w:tc>
        <w:tc>
          <w:tcPr>
            <w:tcW w:w="3685" w:type="dxa"/>
          </w:tcPr>
          <w:p w14:paraId="6E2F26C8" w14:textId="77777777" w:rsidR="009A7568" w:rsidRDefault="009A7568" w:rsidP="009A7568"/>
        </w:tc>
      </w:tr>
      <w:tr w:rsidR="009A7568" w14:paraId="026AF37E" w14:textId="77777777" w:rsidTr="00F862D6">
        <w:tc>
          <w:tcPr>
            <w:tcW w:w="1020" w:type="dxa"/>
          </w:tcPr>
          <w:p w14:paraId="0595E44B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263BBF4" w14:textId="3FBA3DB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73DE">
              <w:rPr>
                <w:noProof/>
              </w:rPr>
              <w:t>1.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272E6E03" w14:textId="77777777" w:rsidR="009A7568" w:rsidRDefault="009A7568" w:rsidP="009A7568"/>
        </w:tc>
        <w:tc>
          <w:tcPr>
            <w:tcW w:w="3685" w:type="dxa"/>
          </w:tcPr>
          <w:p w14:paraId="3B3F31EC" w14:textId="77777777" w:rsidR="009A7568" w:rsidRDefault="009A7568" w:rsidP="009A7568"/>
        </w:tc>
      </w:tr>
      <w:tr w:rsidR="00F64786" w14:paraId="64128ADC" w14:textId="77777777" w:rsidTr="00F862D6">
        <w:tc>
          <w:tcPr>
            <w:tcW w:w="1020" w:type="dxa"/>
          </w:tcPr>
          <w:p w14:paraId="5C0BEA8F" w14:textId="77777777" w:rsidR="00F64786" w:rsidRDefault="00F64786" w:rsidP="0077673A"/>
        </w:tc>
        <w:tc>
          <w:tcPr>
            <w:tcW w:w="2552" w:type="dxa"/>
          </w:tcPr>
          <w:p w14:paraId="50325C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708D33F" w14:textId="77777777" w:rsidR="00F64786" w:rsidRDefault="00F64786" w:rsidP="0077673A"/>
        </w:tc>
        <w:tc>
          <w:tcPr>
            <w:tcW w:w="3685" w:type="dxa"/>
          </w:tcPr>
          <w:p w14:paraId="689CD7E0" w14:textId="77777777" w:rsidR="00F64786" w:rsidRDefault="00F64786" w:rsidP="0077673A"/>
        </w:tc>
      </w:tr>
      <w:tr w:rsidR="00F862D6" w14:paraId="5638D996" w14:textId="77777777" w:rsidTr="00B45E9E">
        <w:trPr>
          <w:trHeight w:val="794"/>
        </w:trPr>
        <w:tc>
          <w:tcPr>
            <w:tcW w:w="1020" w:type="dxa"/>
          </w:tcPr>
          <w:p w14:paraId="3665F5A3" w14:textId="77777777" w:rsidR="00F862D6" w:rsidRDefault="00F862D6" w:rsidP="0077673A"/>
        </w:tc>
        <w:tc>
          <w:tcPr>
            <w:tcW w:w="2552" w:type="dxa"/>
          </w:tcPr>
          <w:p w14:paraId="008D2E48" w14:textId="77777777" w:rsidR="00F862D6" w:rsidRDefault="00F862D6" w:rsidP="00F310F8"/>
        </w:tc>
        <w:tc>
          <w:tcPr>
            <w:tcW w:w="823" w:type="dxa"/>
          </w:tcPr>
          <w:p w14:paraId="43353F3F" w14:textId="77777777" w:rsidR="00F862D6" w:rsidRDefault="00F862D6" w:rsidP="0077673A"/>
        </w:tc>
        <w:tc>
          <w:tcPr>
            <w:tcW w:w="3685" w:type="dxa"/>
          </w:tcPr>
          <w:p w14:paraId="6CC82B7A" w14:textId="77777777" w:rsidR="00F862D6" w:rsidRDefault="00F862D6" w:rsidP="0077673A"/>
        </w:tc>
      </w:tr>
    </w:tbl>
    <w:p w14:paraId="5E00297B" w14:textId="693D379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81030">
        <w:rPr>
          <w:rFonts w:eastAsia="Calibri" w:cs="Times New Roman"/>
          <w:lang w:eastAsia="cs-CZ"/>
        </w:rPr>
        <w:t>„</w:t>
      </w:r>
      <w:r w:rsidR="00181030" w:rsidRPr="00181030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181030" w:rsidRPr="00181030">
        <w:rPr>
          <w:rFonts w:eastAsia="Calibri" w:cs="Times New Roman"/>
          <w:b/>
          <w:lang w:eastAsia="cs-CZ"/>
        </w:rPr>
        <w:t>žst</w:t>
      </w:r>
      <w:proofErr w:type="spellEnd"/>
      <w:r w:rsidR="00181030" w:rsidRPr="00181030">
        <w:rPr>
          <w:rFonts w:eastAsia="Calibri" w:cs="Times New Roman"/>
          <w:b/>
          <w:lang w:eastAsia="cs-CZ"/>
        </w:rPr>
        <w:t>. Rožnov pod Radhoštěm</w:t>
      </w:r>
      <w:r w:rsidR="00181030">
        <w:rPr>
          <w:rFonts w:eastAsia="Calibri" w:cs="Times New Roman"/>
          <w:b/>
          <w:lang w:eastAsia="cs-CZ"/>
        </w:rPr>
        <w:t>“</w:t>
      </w:r>
    </w:p>
    <w:p w14:paraId="4744334B" w14:textId="791FD63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063D7">
        <w:rPr>
          <w:rFonts w:eastAsia="Times New Roman" w:cs="Times New Roman"/>
          <w:lang w:eastAsia="cs-CZ"/>
        </w:rPr>
        <w:t>6</w:t>
      </w:r>
    </w:p>
    <w:p w14:paraId="1E70956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02012A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4F99CA5" w14:textId="77777777" w:rsidR="00DA73DE" w:rsidRPr="00D66757" w:rsidRDefault="001D7FA7" w:rsidP="00DA7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51EE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="00DA73DE" w:rsidRPr="00D66757">
        <w:rPr>
          <w:rFonts w:eastAsia="Calibri" w:cs="Times New Roman"/>
          <w:b/>
          <w:lang w:eastAsia="cs-CZ"/>
        </w:rPr>
        <w:t>Dotaz č. 49:</w:t>
      </w:r>
      <w:r w:rsidR="00DA73DE" w:rsidRPr="00D66757">
        <w:t xml:space="preserve"> </w:t>
      </w:r>
      <w:bookmarkStart w:id="2" w:name="_Hlk73611289"/>
      <w:bookmarkStart w:id="3" w:name="_Hlk73611267"/>
    </w:p>
    <w:bookmarkEnd w:id="2"/>
    <w:p w14:paraId="36FB33DE" w14:textId="77777777" w:rsidR="00DA73DE" w:rsidRPr="00D66757" w:rsidRDefault="00DA73DE" w:rsidP="00DA73DE">
      <w:pPr>
        <w:spacing w:after="0" w:line="240" w:lineRule="auto"/>
        <w:rPr>
          <w:rFonts w:eastAsia="Times New Roman" w:cs="Tahoma"/>
          <w:color w:val="000000"/>
          <w:sz w:val="19"/>
          <w:szCs w:val="19"/>
          <w:lang w:eastAsia="cs-CZ"/>
        </w:rPr>
      </w:pPr>
    </w:p>
    <w:p w14:paraId="5E01A1E4" w14:textId="77777777" w:rsidR="00DA73DE" w:rsidRPr="00DA73DE" w:rsidRDefault="00DA73DE" w:rsidP="00DA73DE">
      <w:pPr>
        <w:spacing w:after="0" w:line="240" w:lineRule="auto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 xml:space="preserve">V postoupené dokumentaci se neshodují zadavatelem uváděná data v Harmonogramu prací, stavebních postupů, přílohy ke smlouvě a v technické zprávě v ZOV. Jde o poskytnuté části </w:t>
      </w:r>
      <w:proofErr w:type="gramStart"/>
      <w:r w:rsidRPr="00DA73DE">
        <w:rPr>
          <w:rFonts w:eastAsia="Times New Roman" w:cs="Tahoma"/>
          <w:sz w:val="19"/>
          <w:szCs w:val="19"/>
          <w:lang w:eastAsia="cs-CZ"/>
        </w:rPr>
        <w:t xml:space="preserve">dokumentace </w:t>
      </w:r>
      <w:r w:rsidRPr="00DA73DE">
        <w:rPr>
          <w:rFonts w:eastAsia="Times New Roman" w:cs="Tahoma"/>
          <w:b/>
          <w:bCs/>
          <w:sz w:val="19"/>
          <w:szCs w:val="19"/>
          <w:lang w:eastAsia="cs-CZ"/>
        </w:rPr>
        <w:t>B.8.3</w:t>
      </w:r>
      <w:proofErr w:type="gramEnd"/>
      <w:r w:rsidRPr="00DA73DE">
        <w:rPr>
          <w:rFonts w:eastAsia="Times New Roman" w:cs="Tahoma"/>
          <w:b/>
          <w:bCs/>
          <w:sz w:val="19"/>
          <w:szCs w:val="19"/>
          <w:lang w:eastAsia="cs-CZ"/>
        </w:rPr>
        <w:t xml:space="preserve"> - Harmonogram výstavby</w:t>
      </w:r>
      <w:r w:rsidRPr="00DA73DE">
        <w:rPr>
          <w:rFonts w:eastAsia="Times New Roman" w:cs="Tahoma"/>
          <w:sz w:val="19"/>
          <w:szCs w:val="19"/>
          <w:lang w:eastAsia="cs-CZ"/>
        </w:rPr>
        <w:t xml:space="preserve">, </w:t>
      </w:r>
      <w:r w:rsidRPr="00DA73DE">
        <w:rPr>
          <w:rFonts w:eastAsia="Times New Roman" w:cs="Tahoma"/>
          <w:b/>
          <w:bCs/>
          <w:sz w:val="19"/>
          <w:szCs w:val="19"/>
          <w:lang w:eastAsia="cs-CZ"/>
        </w:rPr>
        <w:t>B.8.4 - Schéma stavebních postupů</w:t>
      </w:r>
      <w:r w:rsidRPr="00DA73DE">
        <w:rPr>
          <w:rFonts w:eastAsia="Times New Roman" w:cs="Tahoma"/>
          <w:sz w:val="19"/>
          <w:szCs w:val="19"/>
          <w:lang w:eastAsia="cs-CZ"/>
        </w:rPr>
        <w:t xml:space="preserve">, </w:t>
      </w:r>
      <w:r w:rsidRPr="00DA73DE">
        <w:rPr>
          <w:rFonts w:eastAsia="Times New Roman" w:cs="Tahoma"/>
          <w:b/>
          <w:bCs/>
          <w:sz w:val="19"/>
          <w:szCs w:val="19"/>
          <w:lang w:eastAsia="cs-CZ"/>
        </w:rPr>
        <w:t>2_ZÁVAZNÝ VZOR SMLOUVY - 3_Příloha_R-F-20-21_Rožnov_4.5.2022 čistopis</w:t>
      </w:r>
      <w:r w:rsidRPr="00DA73DE">
        <w:rPr>
          <w:rFonts w:eastAsia="Times New Roman" w:cs="Tahoma"/>
          <w:sz w:val="19"/>
          <w:szCs w:val="19"/>
          <w:lang w:eastAsia="cs-CZ"/>
        </w:rPr>
        <w:t xml:space="preserve"> a </w:t>
      </w:r>
      <w:r w:rsidRPr="00DA73DE">
        <w:rPr>
          <w:rFonts w:eastAsia="Times New Roman" w:cs="Tahoma"/>
          <w:b/>
          <w:bCs/>
          <w:sz w:val="19"/>
          <w:szCs w:val="19"/>
          <w:lang w:eastAsia="cs-CZ"/>
        </w:rPr>
        <w:t xml:space="preserve">B.8.1 - Zásady organizace výstavby – textová část - B81XX_1_002_TZ </w:t>
      </w:r>
      <w:r w:rsidRPr="00DA73DE">
        <w:rPr>
          <w:rFonts w:eastAsia="Times New Roman" w:cs="Tahoma"/>
          <w:sz w:val="19"/>
          <w:szCs w:val="19"/>
          <w:lang w:eastAsia="cs-CZ"/>
        </w:rPr>
        <w:t>viz níže.</w:t>
      </w:r>
    </w:p>
    <w:p w14:paraId="7FAC8449" w14:textId="77777777" w:rsidR="00DA73DE" w:rsidRPr="00DA73DE" w:rsidRDefault="00DA73DE" w:rsidP="00DA73DE">
      <w:pPr>
        <w:spacing w:after="0" w:line="240" w:lineRule="auto"/>
        <w:rPr>
          <w:rFonts w:eastAsia="Times New Roman" w:cs="Tahoma"/>
          <w:sz w:val="19"/>
          <w:szCs w:val="19"/>
          <w:lang w:eastAsia="cs-CZ"/>
        </w:rPr>
      </w:pPr>
    </w:p>
    <w:p w14:paraId="185BEA45" w14:textId="77777777" w:rsidR="00DA73DE" w:rsidRPr="00DA73DE" w:rsidRDefault="00DA73DE" w:rsidP="00DA73DE">
      <w:pPr>
        <w:spacing w:after="0" w:line="240" w:lineRule="auto"/>
        <w:rPr>
          <w:rFonts w:eastAsia="Times New Roman" w:cs="Tahoma"/>
          <w:sz w:val="19"/>
          <w:szCs w:val="19"/>
          <w:u w:val="single"/>
          <w:lang w:eastAsia="cs-CZ"/>
        </w:rPr>
      </w:pPr>
      <w:r w:rsidRPr="00DA73DE">
        <w:rPr>
          <w:rFonts w:eastAsia="Times New Roman" w:cs="Tahoma"/>
          <w:sz w:val="19"/>
          <w:szCs w:val="19"/>
          <w:u w:val="single"/>
          <w:lang w:eastAsia="cs-CZ"/>
        </w:rPr>
        <w:t xml:space="preserve"> </w:t>
      </w:r>
      <w:proofErr w:type="gramStart"/>
      <w:r w:rsidRPr="00DA73DE">
        <w:rPr>
          <w:rFonts w:eastAsia="Times New Roman" w:cs="Tahoma"/>
          <w:sz w:val="19"/>
          <w:szCs w:val="19"/>
          <w:u w:val="single"/>
          <w:lang w:eastAsia="cs-CZ"/>
        </w:rPr>
        <w:t>B.8.3</w:t>
      </w:r>
      <w:proofErr w:type="gramEnd"/>
      <w:r w:rsidRPr="00DA73DE">
        <w:rPr>
          <w:rFonts w:eastAsia="Times New Roman" w:cs="Tahoma"/>
          <w:sz w:val="19"/>
          <w:szCs w:val="19"/>
          <w:u w:val="single"/>
          <w:lang w:eastAsia="cs-CZ"/>
        </w:rPr>
        <w:t xml:space="preserve"> - Harmonogram výstavby</w:t>
      </w:r>
    </w:p>
    <w:p w14:paraId="19371563" w14:textId="77777777" w:rsidR="00DA73DE" w:rsidRPr="00DA73DE" w:rsidRDefault="00DA73DE" w:rsidP="00DA73DE">
      <w:pPr>
        <w:spacing w:after="0" w:line="240" w:lineRule="auto"/>
        <w:rPr>
          <w:rFonts w:eastAsia="Times New Roman" w:cs="Tahoma"/>
          <w:sz w:val="19"/>
          <w:szCs w:val="19"/>
          <w:lang w:eastAsia="cs-CZ"/>
        </w:rPr>
      </w:pPr>
    </w:p>
    <w:p w14:paraId="713C32E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58E2F4B7" wp14:editId="15D2FF3A">
            <wp:extent cx="5511165" cy="2473960"/>
            <wp:effectExtent l="0" t="0" r="0" b="254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5" cy="247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79D41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35CB0A5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49579E9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416BE68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6378143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10ADA61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70CA1EE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150FFCC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2162149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4ABC058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2A2DA3E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  <w:proofErr w:type="gramStart"/>
      <w:r w:rsidRPr="00DA73DE">
        <w:rPr>
          <w:rFonts w:ascii="Tahoma" w:eastAsia="Times New Roman" w:hAnsi="Tahoma" w:cs="Tahoma"/>
          <w:sz w:val="19"/>
          <w:szCs w:val="19"/>
          <w:u w:val="single"/>
          <w:lang w:eastAsia="cs-CZ"/>
        </w:rPr>
        <w:lastRenderedPageBreak/>
        <w:t>B.8.4</w:t>
      </w:r>
      <w:proofErr w:type="gramEnd"/>
      <w:r w:rsidRPr="00DA73DE">
        <w:rPr>
          <w:rFonts w:ascii="Tahoma" w:eastAsia="Times New Roman" w:hAnsi="Tahoma" w:cs="Tahoma"/>
          <w:sz w:val="19"/>
          <w:szCs w:val="19"/>
          <w:u w:val="single"/>
          <w:lang w:eastAsia="cs-CZ"/>
        </w:rPr>
        <w:t xml:space="preserve"> - Schéma stavebních postupů</w:t>
      </w:r>
    </w:p>
    <w:p w14:paraId="33F598C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FF3E00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9E6CB3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260F69F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5A961961" wp14:editId="4B5878C0">
            <wp:extent cx="5243195" cy="1525905"/>
            <wp:effectExtent l="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195" cy="152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18A0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0F982E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4F1F35D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B60C70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4AC13109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083151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FCCDFA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1C1D47C7" wp14:editId="2A575198">
            <wp:extent cx="5267325" cy="1353185"/>
            <wp:effectExtent l="0" t="0" r="9525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C206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36394B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E4DEC8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0E77D70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2680F53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3C4D333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8B2FA8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72E205D0" wp14:editId="6405F558">
            <wp:extent cx="5297805" cy="1377950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4211A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52AC941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41B99DA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08E1059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3B9FBB4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79E1968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5E59525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noProof/>
          <w:sz w:val="19"/>
          <w:szCs w:val="19"/>
          <w:lang w:eastAsia="cs-CZ"/>
        </w:rPr>
        <w:drawing>
          <wp:inline distT="0" distB="0" distL="0" distR="0" wp14:anchorId="53A229AD" wp14:editId="0F25C398">
            <wp:extent cx="5468620" cy="1365885"/>
            <wp:effectExtent l="0" t="0" r="0" b="571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B80F7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673750B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  <w:r w:rsidRPr="00DA73DE">
        <w:rPr>
          <w:rFonts w:ascii="Tahoma" w:eastAsia="Times New Roman" w:hAnsi="Tahoma" w:cs="Tahoma"/>
          <w:sz w:val="19"/>
          <w:szCs w:val="19"/>
          <w:u w:val="single"/>
          <w:lang w:eastAsia="cs-CZ"/>
        </w:rPr>
        <w:lastRenderedPageBreak/>
        <w:t>2_ZÁVAZNÝ VZOR SMLOUVY - 3_Příloha_R-F-20-21_Rožnov_4.5.2022 čistopis</w:t>
      </w:r>
    </w:p>
    <w:p w14:paraId="501FF3D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3A2150D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noProof/>
          <w:sz w:val="19"/>
          <w:szCs w:val="19"/>
          <w:lang w:eastAsia="cs-CZ"/>
        </w:rPr>
        <w:drawing>
          <wp:inline distT="0" distB="0" distL="0" distR="0" wp14:anchorId="36CD475B" wp14:editId="7C373D2E">
            <wp:extent cx="5370830" cy="603250"/>
            <wp:effectExtent l="0" t="0" r="1270" b="635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83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2732A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</w:p>
    <w:p w14:paraId="19CF15C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u w:val="single"/>
          <w:lang w:eastAsia="cs-CZ"/>
        </w:rPr>
      </w:pPr>
      <w:proofErr w:type="gramStart"/>
      <w:r w:rsidRPr="00DA73DE">
        <w:rPr>
          <w:rFonts w:ascii="Tahoma" w:eastAsia="Times New Roman" w:hAnsi="Tahoma" w:cs="Tahoma"/>
          <w:sz w:val="19"/>
          <w:szCs w:val="19"/>
          <w:u w:val="single"/>
          <w:lang w:eastAsia="cs-CZ"/>
        </w:rPr>
        <w:t>B.8.1</w:t>
      </w:r>
      <w:proofErr w:type="gramEnd"/>
      <w:r w:rsidRPr="00DA73DE">
        <w:rPr>
          <w:rFonts w:ascii="Tahoma" w:eastAsia="Times New Roman" w:hAnsi="Tahoma" w:cs="Tahoma"/>
          <w:sz w:val="19"/>
          <w:szCs w:val="19"/>
          <w:u w:val="single"/>
          <w:lang w:eastAsia="cs-CZ"/>
        </w:rPr>
        <w:t xml:space="preserve"> - Zásady organizace výstavby - textová část - B81XX_1_002_TZ</w:t>
      </w:r>
    </w:p>
    <w:p w14:paraId="38821B8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7265D28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p w14:paraId="474AFE8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noProof/>
          <w:sz w:val="19"/>
          <w:szCs w:val="19"/>
          <w:lang w:eastAsia="cs-CZ"/>
        </w:rPr>
        <w:drawing>
          <wp:inline distT="0" distB="0" distL="0" distR="0" wp14:anchorId="6E3306B8" wp14:editId="3695A82C">
            <wp:extent cx="5414010" cy="1256030"/>
            <wp:effectExtent l="0" t="0" r="0" b="127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14625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sz w:val="19"/>
          <w:szCs w:val="19"/>
          <w:lang w:eastAsia="cs-CZ"/>
        </w:rPr>
      </w:pPr>
    </w:p>
    <w:bookmarkEnd w:id="3"/>
    <w:p w14:paraId="600D1B1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  <w:t>Žádáme zadavatele o kontrolu a prověření dat uváděných ve výše uvedených částech dokumentace a opravu a uvedení jednotlivých částí do souladu.</w:t>
      </w:r>
    </w:p>
    <w:p w14:paraId="71D419E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0F21AF0" w14:textId="77777777" w:rsidR="00DA73DE" w:rsidRPr="00DA73DE" w:rsidRDefault="00DA73DE" w:rsidP="00DA73DE">
      <w:pPr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 xml:space="preserve">Odpověď: Již bylo odpovězeno v dotazu č. 25: </w:t>
      </w:r>
      <w:r w:rsidRPr="00DA73DE">
        <w:rPr>
          <w:rFonts w:eastAsia="Calibri"/>
          <w:b/>
          <w:lang w:eastAsia="cs-CZ"/>
        </w:rPr>
        <w:t>Demontáž a následná výstavba provizorního nástupiště začne 1. 8. 2022, výluka a stavební práce začnou 7. 8. 2022. Výluka proběhne ve SP1 7. 8. 2022 – 10. 12. 2022, od 7. 8. 2022 do 31. 10. 2022 výluka celé stanice, od 1. 11. 2022 do 10. 12. 2022 NAD Valašské Meziříčí - Rožnov pod Radhoštěm. Přílohou č. 1 a č. 2 zasíláme aktualizovaný  HMG a přílohu B. 8</w:t>
      </w:r>
    </w:p>
    <w:p w14:paraId="13006499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11FFB5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2FA874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Dotaz č. 50: </w:t>
      </w:r>
    </w:p>
    <w:p w14:paraId="3023C77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67A80DE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 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V zadavatelem postoupené dokumentaci – soupisu prací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SO 90-90 Likvidace odpadů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 včetně dopravy</w:t>
      </w:r>
      <w:r w:rsidRPr="00DA73DE">
        <w:rPr>
          <w:rFonts w:ascii="Tahoma" w:eastAsia="Times New Roman" w:hAnsi="Tahoma" w:cs="Tahoma"/>
          <w:sz w:val="19"/>
          <w:szCs w:val="19"/>
          <w:lang w:eastAsia="cs-CZ"/>
        </w:rPr>
        <w:t xml:space="preserve"> nesouhlasí m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nožství odpadů u daných položek z celého soupisu prací s porovnáním množství odpadů v rámci stavebního objektu SO 90-90.</w:t>
      </w:r>
    </w:p>
    <w:p w14:paraId="352B13F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50A8CC0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Jedná se o tyto položky ze SO 90-90:</w:t>
      </w:r>
    </w:p>
    <w:p w14:paraId="76A833A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a) </w:t>
      </w:r>
    </w:p>
    <w:p w14:paraId="2DD3A62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2661660B" wp14:editId="01948778">
            <wp:extent cx="4620895" cy="1329055"/>
            <wp:effectExtent l="0" t="0" r="8255" b="4445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89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9AF1E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723DFCE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Množství položky “POPLATKY ZA LIKVIDACI ODPADŮ NEKONTAMINOVANÝCH - 17 05 04 VYTĚŽENÉ ZEMINY A HORNINY - I. TŘÍDA TĚŽITELNOSTI VČETNĚ DOPRAVY“ z celého SP: </w:t>
      </w:r>
      <w:r w:rsidRPr="00DA73DE">
        <w:rPr>
          <w:rFonts w:ascii="Tahoma" w:eastAsia="Times New Roman" w:hAnsi="Tahoma" w:cs="Tahoma"/>
          <w:bCs/>
          <w:sz w:val="19"/>
          <w:szCs w:val="19"/>
          <w:u w:val="single"/>
          <w:lang w:eastAsia="cs-CZ"/>
        </w:rPr>
        <w:t>15.014,866 t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. </w:t>
      </w:r>
    </w:p>
    <w:p w14:paraId="4F1D3F8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01A1A3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b)</w:t>
      </w:r>
    </w:p>
    <w:p w14:paraId="746DA95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3A1DC768" wp14:editId="2377BF32">
            <wp:extent cx="4603115" cy="1322705"/>
            <wp:effectExtent l="0" t="0" r="6985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1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057EB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23DBEB4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Množství položky “ POPLATKY ZA LIKVIDACI ODPADŮ NEKONTAMINOVANÝCH - 17 03 02 VYBOURANÝ ASFALTOVÝ BETON BEZ DEHTU VČETNĚ DOPRAVY“ z celého SP: </w:t>
      </w:r>
      <w:r w:rsidRPr="00DA73DE">
        <w:rPr>
          <w:rFonts w:ascii="Tahoma" w:eastAsia="Times New Roman" w:hAnsi="Tahoma" w:cs="Tahoma"/>
          <w:bCs/>
          <w:sz w:val="19"/>
          <w:szCs w:val="19"/>
          <w:u w:val="single"/>
          <w:lang w:eastAsia="cs-CZ"/>
        </w:rPr>
        <w:t>328,213 t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.</w:t>
      </w:r>
    </w:p>
    <w:p w14:paraId="46DEF69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72A6BDD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c)</w:t>
      </w:r>
    </w:p>
    <w:p w14:paraId="01CEE4A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43EE9B02" wp14:editId="33BD7E42">
            <wp:extent cx="4773295" cy="1436370"/>
            <wp:effectExtent l="0" t="0" r="8255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295" cy="143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2605C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42B85E7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Množství položky “ POPLATKY ZA LIKVIDACI ODPADŮ NEBEZPEČNÝCH - 16 02 13* VYŘAZENÁ ZAŘÍZENÍ A TRAFA S OLEJEM (NÁPLŇ OBSAHUJÍCÍ NEBEZPEČNÉ LÁTKY), VČETNĚ DOPRAVY“ z celého SP: </w:t>
      </w:r>
      <w:r w:rsidRPr="00DA73DE">
        <w:rPr>
          <w:rFonts w:ascii="Tahoma" w:eastAsia="Times New Roman" w:hAnsi="Tahoma" w:cs="Tahoma"/>
          <w:bCs/>
          <w:sz w:val="19"/>
          <w:szCs w:val="19"/>
          <w:u w:val="single"/>
          <w:lang w:eastAsia="cs-CZ"/>
        </w:rPr>
        <w:t>nebyla nalezena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.</w:t>
      </w:r>
    </w:p>
    <w:p w14:paraId="360DBEF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</w:p>
    <w:p w14:paraId="4865117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  <w:t>Žádáme zadavatele o kontrolu množství daných položek a případnou opravu soupisu prací.</w:t>
      </w:r>
    </w:p>
    <w:p w14:paraId="685B80A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19638DFE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 xml:space="preserve">Odpověď: </w:t>
      </w:r>
      <w:r w:rsidRPr="00DA73DE">
        <w:rPr>
          <w:rFonts w:eastAsia="Calibri"/>
          <w:b/>
          <w:lang w:eastAsia="cs-CZ"/>
        </w:rPr>
        <w:t>Položka č. 1 kód položky R015111.90 POPLATKY ZA LIKVIDACI ODPADŮ NEKONTAMINOVANÝCH - 17 05 04 VYTĚŽENÉ ZEMINY A HORNINY - I. TŘÍDA TĚŽITELNOSTI VČETNĚ DOPRAVY byla upravena v SO 90-90 na hodnotu 15 017,559 t.</w:t>
      </w:r>
    </w:p>
    <w:p w14:paraId="1B4AFE66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</w:p>
    <w:p w14:paraId="270E6094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>Položka č. 7 kód položky R015570.90 POPLATKY ZA LIKVIDACI ODPADŮ NEKONTAMINOVANÝCH - 17 03 02 VYBOURANÝ ASFALTOVÝ BETON BEZ DEHTU VČETNĚ DOPRAVY byla upravena v SO 90-90 na hodnotu 328,213 t</w:t>
      </w:r>
    </w:p>
    <w:p w14:paraId="6D9BD937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</w:p>
    <w:p w14:paraId="0EE90FD0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>U položky č. 23. R015570.90 byl upraven název a popis položky, výměra zůstává stejná.</w:t>
      </w:r>
    </w:p>
    <w:p w14:paraId="1E1069B8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>R015570 POPLATKY ZA LIKVIDACI ODPADŮ NEBEZPEČNÝCH - 17 03 01* ASFALTOVÉ SMĚSI OBSAHUJÍCÍ DEHET (VOZOVKA, IZOLACE, STAVEBNÍ NÁTĚRY), VČETNĚ DOPRAVY,</w:t>
      </w:r>
    </w:p>
    <w:p w14:paraId="76B4726F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>Popis položky:</w:t>
      </w:r>
    </w:p>
    <w:p w14:paraId="03970E2E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 xml:space="preserve">Evidenční položka     </w:t>
      </w:r>
    </w:p>
    <w:p w14:paraId="5507A5F2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 xml:space="preserve">N odpad: nebezpečné </w:t>
      </w:r>
      <w:proofErr w:type="spellStart"/>
      <w:r w:rsidRPr="00DA73DE">
        <w:rPr>
          <w:rFonts w:eastAsia="Calibri"/>
          <w:b/>
          <w:lang w:eastAsia="cs-CZ"/>
        </w:rPr>
        <w:t>látky:dehet</w:t>
      </w:r>
      <w:proofErr w:type="spellEnd"/>
      <w:r w:rsidRPr="00DA73DE">
        <w:rPr>
          <w:rFonts w:eastAsia="Calibri"/>
          <w:b/>
          <w:lang w:eastAsia="cs-CZ"/>
        </w:rPr>
        <w:t xml:space="preserve"> (třída vyluhovatelnosti překračuje I, a II. třídu a nepřekračuje III. třídu dle vyhlášky 294/2005 Sb.)        </w:t>
      </w:r>
    </w:p>
    <w:p w14:paraId="21760756" w14:textId="77777777" w:rsidR="00DA73DE" w:rsidRPr="00DA73DE" w:rsidRDefault="00DA73DE" w:rsidP="00DA73DE">
      <w:pPr>
        <w:spacing w:after="0" w:line="240" w:lineRule="auto"/>
        <w:rPr>
          <w:rFonts w:eastAsia="Calibri"/>
          <w:b/>
          <w:lang w:eastAsia="cs-CZ"/>
        </w:rPr>
      </w:pPr>
      <w:r w:rsidRPr="00DA73DE">
        <w:rPr>
          <w:rFonts w:eastAsia="Calibri"/>
          <w:b/>
          <w:lang w:eastAsia="cs-CZ"/>
        </w:rPr>
        <w:t>Způsob likvidace: skládka S-NO, spalovna N odpadu</w:t>
      </w:r>
    </w:p>
    <w:p w14:paraId="4804409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662EAC3B" w14:textId="77777777" w:rsidR="00DA73DE" w:rsidRPr="00DA73DE" w:rsidRDefault="00DA73DE" w:rsidP="00DA7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Dotaz č. 51:</w:t>
      </w:r>
      <w:r w:rsidRPr="00DA73DE">
        <w:t xml:space="preserve"> </w:t>
      </w:r>
    </w:p>
    <w:p w14:paraId="2792494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3212B7B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 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Zadavatelem postoupená dokumentace - soupis </w:t>
      </w:r>
      <w:proofErr w:type="gramStart"/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prací</w:t>
      </w:r>
      <w:r w:rsidRPr="00DA73DE">
        <w:rPr>
          <w:rFonts w:ascii="Tahoma" w:eastAsia="Times New Roman" w:hAnsi="Tahoma" w:cs="Tahoma"/>
          <w:sz w:val="19"/>
          <w:szCs w:val="19"/>
          <w:lang w:eastAsia="cs-CZ"/>
        </w:rPr>
        <w:t xml:space="preserve">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D.2.1.1</w:t>
      </w:r>
      <w:proofErr w:type="gram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 Kolejový svršek a spodek, SO 01-11-01 </w:t>
      </w:r>
      <w:proofErr w:type="spellStart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Žst</w:t>
      </w:r>
      <w:proofErr w:type="spell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. Rožnov p. R., železniční spodek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, obsahuje následující položku:</w:t>
      </w:r>
    </w:p>
    <w:p w14:paraId="131F79F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995F9C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07A17E59" wp14:editId="5978E40A">
            <wp:extent cx="5761355" cy="1865630"/>
            <wp:effectExtent l="0" t="0" r="0" b="127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9D12DA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29E905D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lastRenderedPageBreak/>
        <w:drawing>
          <wp:inline distT="0" distB="0" distL="0" distR="0" wp14:anchorId="0DD126F5" wp14:editId="2BD037E2">
            <wp:extent cx="3980815" cy="1040765"/>
            <wp:effectExtent l="0" t="0" r="635" b="6985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815" cy="1040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910DD9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6CD1F6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  <w:t xml:space="preserve">Žádáme zadavatele o doplnění specifikace položky (vlastnosti materiálu) – výztužné </w:t>
      </w:r>
      <w:proofErr w:type="spellStart"/>
      <w:r w:rsidRPr="00DA73DE"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  <w:t>geosyntetikum</w:t>
      </w:r>
      <w:proofErr w:type="spellEnd"/>
      <w:r w:rsidRPr="00DA73DE"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  <w:t xml:space="preserve"> (viz výše).</w:t>
      </w:r>
    </w:p>
    <w:p w14:paraId="763A05F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2B047967" w14:textId="77777777" w:rsidR="00DA73DE" w:rsidRPr="00DA73DE" w:rsidRDefault="00DA73DE" w:rsidP="00DA73DE">
      <w:pPr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 xml:space="preserve">Odpověď: Na tento dotaz bylo odpovězeno v rámci dotazu č. 19: Jedná se o kombinaci </w:t>
      </w:r>
      <w:proofErr w:type="spellStart"/>
      <w:r w:rsidRPr="00DA73DE">
        <w:rPr>
          <w:rFonts w:eastAsia="Calibri" w:cs="Times New Roman"/>
          <w:b/>
          <w:lang w:eastAsia="cs-CZ"/>
        </w:rPr>
        <w:t>geomříže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 s </w:t>
      </w:r>
      <w:proofErr w:type="spellStart"/>
      <w:r w:rsidRPr="00DA73DE">
        <w:rPr>
          <w:rFonts w:eastAsia="Calibri" w:cs="Times New Roman"/>
          <w:b/>
          <w:lang w:eastAsia="cs-CZ"/>
        </w:rPr>
        <w:t>geotextilií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 o min. parametrech </w:t>
      </w:r>
      <w:proofErr w:type="spellStart"/>
      <w:r w:rsidRPr="00DA73DE">
        <w:rPr>
          <w:rFonts w:eastAsia="Calibri" w:cs="Times New Roman"/>
          <w:b/>
          <w:lang w:eastAsia="cs-CZ"/>
        </w:rPr>
        <w:t>geomříž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: pevnost v tahu ≥ 40 </w:t>
      </w:r>
      <w:proofErr w:type="spellStart"/>
      <w:r w:rsidRPr="00DA73DE">
        <w:rPr>
          <w:rFonts w:eastAsia="Calibri" w:cs="Times New Roman"/>
          <w:b/>
          <w:lang w:eastAsia="cs-CZ"/>
        </w:rPr>
        <w:t>kN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/m, pevnost při 2% protažení ≥ 15 </w:t>
      </w:r>
      <w:proofErr w:type="spellStart"/>
      <w:r w:rsidRPr="00DA73DE">
        <w:rPr>
          <w:rFonts w:eastAsia="Calibri" w:cs="Times New Roman"/>
          <w:b/>
          <w:lang w:eastAsia="cs-CZ"/>
        </w:rPr>
        <w:t>kN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/m, </w:t>
      </w:r>
      <w:proofErr w:type="spellStart"/>
      <w:r w:rsidRPr="00DA73DE">
        <w:rPr>
          <w:rFonts w:eastAsia="Calibri" w:cs="Times New Roman"/>
          <w:b/>
          <w:lang w:eastAsia="cs-CZ"/>
        </w:rPr>
        <w:t>geotextilie</w:t>
      </w:r>
      <w:proofErr w:type="spellEnd"/>
      <w:r w:rsidRPr="00DA73DE">
        <w:rPr>
          <w:rFonts w:eastAsia="Calibri" w:cs="Times New Roman"/>
          <w:b/>
          <w:lang w:eastAsia="cs-CZ"/>
        </w:rPr>
        <w:t>:  min. gramáž ≥ 150 g/m2. Pro jednoznačnost je do SP doplněna položka č. 26, kód položky 502942 ZŘÍZENÍ KONSTRU NÍ VRSTVY TĚLESA ŽELEZNIČNÍHO SPODKU Z GEOMŘÍŽKY o výměře 4596,25 m2.</w:t>
      </w:r>
    </w:p>
    <w:p w14:paraId="65B22AC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7F1FDD4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04789D2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Dotaz č. 52: </w:t>
      </w:r>
    </w:p>
    <w:p w14:paraId="22308E3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3BCDD48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625E865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Zadavatelem postoupená dokumentace - soupis </w:t>
      </w:r>
      <w:proofErr w:type="gramStart"/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prací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D.2.1.2</w:t>
      </w:r>
      <w:proofErr w:type="gram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 Nástupiště, SO 01-12-01, </w:t>
      </w:r>
      <w:proofErr w:type="spellStart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Žst</w:t>
      </w:r>
      <w:proofErr w:type="spell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. Rožnov p. R., nástupiště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, obsahuje následující položky:</w:t>
      </w:r>
    </w:p>
    <w:p w14:paraId="5F53E4B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07ADE2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6DFC9963" wp14:editId="0E956553">
            <wp:extent cx="5072380" cy="2060575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38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AA7B6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145CEC75" wp14:editId="4BE80D09">
            <wp:extent cx="5053965" cy="1524000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96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4CFF7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63F0C14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  <w:t>Žádáme zadavatele o doplnění specifikace položky (vlastnosti materiálu) – kari síť viz výše.</w:t>
      </w:r>
    </w:p>
    <w:p w14:paraId="2634C81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51EC223F" w14:textId="77777777" w:rsidR="00DA73DE" w:rsidRPr="00DA73DE" w:rsidRDefault="00DA73DE" w:rsidP="00DA73DE">
      <w:pPr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Odpověď: u obou položek č. 20, kód položky 272366 VÝZTUŽ ZÁKLADŮ Z KARI SÍTÍ a č. 34 451366 VÝZTUŽ PODKL VRSTEV Z KARI-SÍTÍ se jedná o KARI síť 8x150x150 mm. Bylo popsáno ve výkazu výměr.</w:t>
      </w:r>
    </w:p>
    <w:p w14:paraId="6AEA9E3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45C4307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D62F46D" w14:textId="77777777" w:rsid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5DC86F6D" w14:textId="77777777" w:rsid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65469EC8" w14:textId="77777777" w:rsid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12853881" w14:textId="651B5988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lastRenderedPageBreak/>
        <w:t xml:space="preserve">Dotaz č. 53: </w:t>
      </w:r>
    </w:p>
    <w:p w14:paraId="1BD5617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6408D95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Zadavatelem postoupená dokumentace - soupis </w:t>
      </w:r>
      <w:proofErr w:type="gramStart"/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prací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D.2.1.2</w:t>
      </w:r>
      <w:proofErr w:type="gram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 Nástupiště, SO 01-12-01, </w:t>
      </w:r>
      <w:proofErr w:type="spellStart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Žst</w:t>
      </w:r>
      <w:proofErr w:type="spell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. Rožnov p. R., nástupiště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, obsahuje následující položky:</w:t>
      </w:r>
    </w:p>
    <w:p w14:paraId="4286A08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41C9C85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2048E584" wp14:editId="2799CB3A">
            <wp:extent cx="5011420" cy="1713230"/>
            <wp:effectExtent l="0" t="0" r="0" b="127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17954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24C5F52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noProof/>
          <w:sz w:val="19"/>
          <w:szCs w:val="19"/>
          <w:lang w:eastAsia="cs-CZ"/>
        </w:rPr>
        <w:drawing>
          <wp:inline distT="0" distB="0" distL="0" distR="0" wp14:anchorId="5216347B" wp14:editId="38E8264E">
            <wp:extent cx="5011420" cy="1713230"/>
            <wp:effectExtent l="0" t="0" r="0" b="127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5A632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7B99EF4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5B7CA3F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  <w:t>Žádáme zadavatele o doplnění specifikace položky (vlastnosti materiálu) – asfaltové pásy viz výše.</w:t>
      </w:r>
    </w:p>
    <w:p w14:paraId="57AC529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08E851D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5398F57B" w14:textId="77777777" w:rsidR="00DA73DE" w:rsidRPr="00DA73DE" w:rsidRDefault="00DA73DE" w:rsidP="00DA73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 xml:space="preserve">Odpověď: Použijí se asfaltové pásy podkladní modifikované minimálně typu R maximální tloušťky 4 mm s deklarovanou ohebností při maximálně -25 °C a s odolností proti stékání při minimálně +60 °C. Minimální teplota vzduchu a podkladu při natavování se řídí pokyny výrobce asfaltové izolace. </w:t>
      </w:r>
    </w:p>
    <w:p w14:paraId="2E0E4EF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5F941E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bookmarkStart w:id="4" w:name="_Hlk104456754"/>
    </w:p>
    <w:p w14:paraId="381A3A2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Dotaz č. 54: </w:t>
      </w:r>
    </w:p>
    <w:p w14:paraId="613668D9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7F6135E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Zadavatelem </w:t>
      </w:r>
      <w:bookmarkEnd w:id="4"/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postoupená dokumentace obsahuje soupis prací k 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SO 01-30-03, </w:t>
      </w:r>
      <w:proofErr w:type="spellStart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Žst</w:t>
      </w:r>
      <w:proofErr w:type="spellEnd"/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. Rožnov p. R., přeložky rozvodů ČEZ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, a následující odkaz na smlouvu o přeložce:</w:t>
      </w:r>
    </w:p>
    <w:p w14:paraId="4F5CEBE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03FE707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532CC5C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3D124D16" wp14:editId="02241B2A">
            <wp:extent cx="5761355" cy="76200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ABCFCF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5502FB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sz w:val="19"/>
          <w:szCs w:val="19"/>
          <w:lang w:eastAsia="cs-CZ"/>
        </w:rPr>
        <w:t>Dotčená smlouva v zadávací dokumentaci chybí. Dle zkušeností z obdobných staveb si společnost ČEZ zajišťuje tyto SO sama.</w:t>
      </w:r>
    </w:p>
    <w:p w14:paraId="4043282B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B68C54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  <w:t>Žádáme zadavatele o upřesnění, zda má uchazeč zahrnout tento SO do nabídky nebo zda bude tento SO vyjmut z ocenění?</w:t>
      </w:r>
    </w:p>
    <w:p w14:paraId="2D65DFF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</w:p>
    <w:p w14:paraId="384E854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375B3674" w14:textId="77777777" w:rsidR="00DA73DE" w:rsidRPr="00DA73DE" w:rsidRDefault="00DA73DE" w:rsidP="00DA73DE">
      <w:pPr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Odpověď: Dotčený SO se v rámci nabídky neoceňuje.</w:t>
      </w:r>
    </w:p>
    <w:p w14:paraId="08B34C23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lastRenderedPageBreak/>
        <w:t xml:space="preserve">Dotaz č. 55: </w:t>
      </w:r>
    </w:p>
    <w:p w14:paraId="617C88F2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</w:p>
    <w:p w14:paraId="019E8888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39E86A0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V postoupeném Vysvětlení/změně/doplnění dokumentace č. 3 zadavatel uvedl, že proběhnou změny v projektu a v soupise prací. V přiloženém soupise prací nejsou dané změny zapracované.</w:t>
      </w:r>
    </w:p>
    <w:p w14:paraId="24375C5E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ADF435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bCs/>
          <w:i/>
          <w:iCs/>
          <w:sz w:val="19"/>
          <w:szCs w:val="19"/>
          <w:lang w:eastAsia="cs-CZ"/>
        </w:rPr>
        <w:t>Žádáme zadavatele o aktualizaci soupisu prací.</w:t>
      </w:r>
    </w:p>
    <w:p w14:paraId="6227152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0627991" w14:textId="77777777" w:rsidR="00DA73DE" w:rsidRPr="00DA73DE" w:rsidRDefault="00DA73DE" w:rsidP="00DA73DE">
      <w:pPr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Odpověď: Přílohou zasíláme č.4_SP aktualizovaný soupis prací</w:t>
      </w:r>
    </w:p>
    <w:p w14:paraId="2CDE7CB4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E62D4B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60883E36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Dotaz č. 56: </w:t>
      </w:r>
    </w:p>
    <w:p w14:paraId="65C778A7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306C931C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Zadavatelem postoupená dokumentace - soupis prací ke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SO 98-98, Všeobecný objekt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 xml:space="preserve">, obsahuje </w:t>
      </w:r>
      <w:r w:rsidRPr="00DA73DE">
        <w:rPr>
          <w:rFonts w:ascii="Tahoma" w:eastAsia="Times New Roman" w:hAnsi="Tahoma" w:cs="Tahoma"/>
          <w:b/>
          <w:sz w:val="19"/>
          <w:szCs w:val="19"/>
          <w:lang w:eastAsia="cs-CZ"/>
        </w:rPr>
        <w:t>položku č. 10 Nájmy, zábory a věcná břemena placená zhotovitelem</w:t>
      </w:r>
      <w:r w:rsidRPr="00DA73DE">
        <w:rPr>
          <w:rFonts w:ascii="Tahoma" w:eastAsia="Times New Roman" w:hAnsi="Tahoma" w:cs="Tahoma"/>
          <w:bCs/>
          <w:sz w:val="19"/>
          <w:szCs w:val="19"/>
          <w:lang w:eastAsia="cs-CZ"/>
        </w:rPr>
        <w:t>. Dle popisu položky by další informace měly být v ZTP a VTP, ale tam nebylo nic nalezeno. V zadávací dokumentaci jsme našli pouze v dokladové části seznam dokladů 06.1 Doklady k projednání s vlastníky dotčených nemovitostí. Uvedené jednotlivé smlouvy již v zadávací dokumentaci nejsou obsaženy.</w:t>
      </w:r>
    </w:p>
    <w:p w14:paraId="505456FD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Cs/>
          <w:sz w:val="19"/>
          <w:szCs w:val="19"/>
          <w:lang w:eastAsia="cs-CZ"/>
        </w:rPr>
      </w:pPr>
    </w:p>
    <w:p w14:paraId="4E99FC21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</w:pPr>
      <w:r w:rsidRPr="00DA73DE">
        <w:rPr>
          <w:rFonts w:ascii="Tahoma" w:eastAsia="Times New Roman" w:hAnsi="Tahoma" w:cs="Tahoma"/>
          <w:b/>
          <w:i/>
          <w:iCs/>
          <w:sz w:val="19"/>
          <w:szCs w:val="19"/>
          <w:lang w:eastAsia="cs-CZ"/>
        </w:rPr>
        <w:t>Žádáme zadavatele o kontrolu a doplnění dokumentace.</w:t>
      </w:r>
    </w:p>
    <w:p w14:paraId="046A5E20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7FA9A6D2" w14:textId="77777777" w:rsidR="00DA73DE" w:rsidRPr="00DA73DE" w:rsidRDefault="00DA73DE" w:rsidP="00DA73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Odpověď: Přílohou číslo 3_Smlouvy zasíláme nájemní smlouvy.</w:t>
      </w:r>
    </w:p>
    <w:p w14:paraId="2A71C525" w14:textId="77777777" w:rsidR="00DA73DE" w:rsidRPr="00DA73DE" w:rsidRDefault="00DA73DE" w:rsidP="00DA73D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A73DE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14:paraId="1D673429" w14:textId="77777777" w:rsidR="00DA73DE" w:rsidRPr="00DA73DE" w:rsidRDefault="00DA73DE" w:rsidP="00DA7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>Dotaz č. 57:</w:t>
      </w:r>
      <w:r w:rsidRPr="00DA73DE">
        <w:t xml:space="preserve"> </w:t>
      </w:r>
    </w:p>
    <w:p w14:paraId="1B48BB40" w14:textId="77777777" w:rsidR="00DA73DE" w:rsidRPr="00DA73DE" w:rsidRDefault="00DA73DE" w:rsidP="00DA73DE">
      <w:pPr>
        <w:spacing w:after="0" w:line="240" w:lineRule="auto"/>
        <w:rPr>
          <w:rFonts w:eastAsia="Times New Roman" w:cs="Tahoma"/>
          <w:sz w:val="19"/>
          <w:szCs w:val="19"/>
          <w:lang w:eastAsia="cs-CZ"/>
        </w:rPr>
      </w:pPr>
    </w:p>
    <w:p w14:paraId="50443C1F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 xml:space="preserve">Ve Vysvětlení a doplnění zadávací dokumentace </w:t>
      </w:r>
      <w:proofErr w:type="gramStart"/>
      <w:r w:rsidRPr="00DA73DE">
        <w:rPr>
          <w:rFonts w:eastAsia="Times New Roman" w:cs="Tahoma"/>
          <w:sz w:val="19"/>
          <w:szCs w:val="19"/>
          <w:lang w:eastAsia="cs-CZ"/>
        </w:rPr>
        <w:t>č.1, dotaz</w:t>
      </w:r>
      <w:proofErr w:type="gramEnd"/>
      <w:r w:rsidRPr="00DA73DE">
        <w:rPr>
          <w:rFonts w:eastAsia="Times New Roman" w:cs="Tahoma"/>
          <w:sz w:val="19"/>
          <w:szCs w:val="19"/>
          <w:lang w:eastAsia="cs-CZ"/>
        </w:rPr>
        <w:t xml:space="preserve"> č. 3 se jiný účastník zadávacího řízení dotazuje na Přílohu A.6.1 DSS Agentura čas a Příloha A.6.2. Specifické požadavky na informace.</w:t>
      </w:r>
    </w:p>
    <w:p w14:paraId="64C3621A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36976E6A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 xml:space="preserve">Jako mezinárodni společnost disponujeme jiným než uvedeným softwarovým vybavením. Jsme toho názoru, že uvedené požadavky zvýhodňují uchazeče, kteří disponují konkrétním počítačovým programem (pravděpodobně uvedený </w:t>
      </w:r>
      <w:proofErr w:type="spellStart"/>
      <w:r w:rsidRPr="00DA73DE">
        <w:rPr>
          <w:rFonts w:eastAsia="Times New Roman" w:cs="Tahoma"/>
          <w:sz w:val="19"/>
          <w:szCs w:val="19"/>
          <w:lang w:eastAsia="cs-CZ"/>
        </w:rPr>
        <w:t>Revit</w:t>
      </w:r>
      <w:proofErr w:type="spellEnd"/>
      <w:r w:rsidRPr="00DA73DE">
        <w:rPr>
          <w:rFonts w:eastAsia="Times New Roman" w:cs="Tahoma"/>
          <w:sz w:val="19"/>
          <w:szCs w:val="19"/>
          <w:lang w:eastAsia="cs-CZ"/>
        </w:rPr>
        <w:t>). Na projektech realizované pro jiné zadavatele, nebo v zahraničí se tyto přílohy nevyskytují, nebo jsou formulovány jinak a nezvýhodňují konkrétní počítačové programy.</w:t>
      </w:r>
    </w:p>
    <w:p w14:paraId="6A73B2B8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739C315B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Zadavatel v odpovědi konstatuje: „Jedním z cílů zpracování Díla v režimu BIM je prověření Datové struktury, která je Přílohou A BIM Protokolu. V případě, že předepsanou Datovou strukturu nebude možné využít pro určité prvky a konstrukce, s ohledem na charakter některých objektů stavby, Zhotoviteli se umožňuje pro takovéto objekty navrhnout jinou jednotnou datovou strukturu se zachováním základní struktury, přičemž tato struktura bude projednána s Objednatelem, viz v kap. 3.2. Cíl 3.2 Přílohy B – Požadavky zadavatel pro režim BIM (EIR) BIM Protokolu. Uvedené dokumenty slouží jako podklad k prověření Datové struktury a konkurenční výhodu tak nezpůsobují. Zároveň vychází z volně dostupných dokumentů odboru Koncepce BIM Agentury ČAS, která zpracovává metodické dokumenty na</w:t>
      </w:r>
    </w:p>
    <w:p w14:paraId="4A1E5B35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 xml:space="preserve"> </w:t>
      </w:r>
    </w:p>
    <w:p w14:paraId="099DD081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 xml:space="preserve">základě vládou schválené Koncepce zavádění metody BIM v České republice. Zadavatel tedy nepředepisuje použití konkrétního SW a ani SW </w:t>
      </w:r>
      <w:proofErr w:type="spellStart"/>
      <w:r w:rsidRPr="00DA73DE">
        <w:rPr>
          <w:rFonts w:eastAsia="Times New Roman" w:cs="Tahoma"/>
          <w:sz w:val="19"/>
          <w:szCs w:val="19"/>
          <w:lang w:eastAsia="cs-CZ"/>
        </w:rPr>
        <w:t>Revit</w:t>
      </w:r>
      <w:proofErr w:type="spellEnd"/>
      <w:r w:rsidRPr="00DA73DE">
        <w:rPr>
          <w:rFonts w:eastAsia="Times New Roman" w:cs="Tahoma"/>
          <w:sz w:val="19"/>
          <w:szCs w:val="19"/>
          <w:lang w:eastAsia="cs-CZ"/>
        </w:rPr>
        <w:t xml:space="preserve"> není pro zpracování Díla nezbytný."</w:t>
      </w:r>
    </w:p>
    <w:p w14:paraId="0654ACF3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797B8FB6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Konstatování, že se jedná o volně dostupné podklady, nic nemění na tom, že zvýhodňují některé dodavatele.</w:t>
      </w:r>
    </w:p>
    <w:p w14:paraId="1445241E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3B875510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K informaci, že se jedná o dokument zpracovaný jinou organizací, než zadavatelem uvádíme, že tato informace nezbavuje odpovědnosti zadavatele za zadávací dokumentaci a jeho povinnosti postupovat podle Zákona o zadávání veřejných zakázek.</w:t>
      </w:r>
    </w:p>
    <w:p w14:paraId="51D70933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4188C0D2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Zadavatel uvádí v zadávací dokumentaci specifikaci zpracovanou uzavřenou skupinou odborníků, která nesplňuje náležitosti Zákona o zadávání veřejných zakázek.</w:t>
      </w:r>
    </w:p>
    <w:p w14:paraId="365A0338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363A4766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lastRenderedPageBreak/>
        <w:t>Tato specifikace způsobuje nepřiměřené technické a organizační obtíže ve vztahu k plnění a jsme nuceni měnit naše osvědčené dodavatele na dodavatele s konkrétním počítačovým programem.</w:t>
      </w:r>
    </w:p>
    <w:p w14:paraId="74D1D58A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30FA05E5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Dovolujeme si požádat zadavatele o poskytnutí vysvětlení a bližší specifikaci „základní struktury"?</w:t>
      </w:r>
    </w:p>
    <w:p w14:paraId="02C0F84A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4001D70B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Dovolujeme si požádat zadavatele o uvedení podmínek, za kterých bude tato nová struktura, připravená dodavatelem, objednatelem schválena?</w:t>
      </w:r>
    </w:p>
    <w:p w14:paraId="21A3A8A0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</w:p>
    <w:p w14:paraId="1E88D4A0" w14:textId="77777777" w:rsidR="00DA73DE" w:rsidRPr="00DA73DE" w:rsidRDefault="00DA73DE" w:rsidP="00DA73DE">
      <w:pPr>
        <w:spacing w:after="0" w:line="240" w:lineRule="auto"/>
        <w:jc w:val="both"/>
        <w:rPr>
          <w:rFonts w:eastAsia="Times New Roman" w:cs="Tahoma"/>
          <w:sz w:val="19"/>
          <w:szCs w:val="19"/>
          <w:lang w:eastAsia="cs-CZ"/>
        </w:rPr>
      </w:pPr>
      <w:r w:rsidRPr="00DA73DE">
        <w:rPr>
          <w:rFonts w:eastAsia="Times New Roman" w:cs="Tahoma"/>
          <w:sz w:val="19"/>
          <w:szCs w:val="19"/>
          <w:lang w:eastAsia="cs-CZ"/>
        </w:rPr>
        <w:t>Bez těchto informací nelze tato plnění řádně ocenit.</w:t>
      </w:r>
    </w:p>
    <w:p w14:paraId="0251B115" w14:textId="77777777" w:rsidR="00DA73DE" w:rsidRPr="00DA73DE" w:rsidRDefault="00DA73DE" w:rsidP="00DA73D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13031387" w14:textId="77777777" w:rsidR="00DA73DE" w:rsidRPr="00DA73DE" w:rsidRDefault="00DA73DE" w:rsidP="00DA73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73DE">
        <w:rPr>
          <w:rFonts w:eastAsia="Calibri" w:cs="Times New Roman"/>
          <w:b/>
          <w:lang w:eastAsia="cs-CZ"/>
        </w:rPr>
        <w:t xml:space="preserve">Odpověď: Jedním z cílů zpracování Díla v režimu BIM je prověření Datové struktury, která je Přílohou A BIM Protokolu. V případě, že předepsanou Datovou strukturu nebude možné využít pro určité prvky a konstrukce, s ohledem na charakter některých objektů stavby, bude pro takovéto objekty navržena jiná jednotná datová struktura se zachováním základní struktury a tato struktura bude projednána s Objednatelem, viz v kap. 3.2. Cíl 3.2 Přílohy B - Požadavky zadavatel pro režim BIM (EIR) BIM Protokolu. Uvedené dokumenty jsou závazné jako podklad k prověření a konkurenční výhodu nezpůsobují, neboť vychází z volně dostupných dokumentů odboru Koncepce BIM Agentury ČAS, která zpracovává metodické dokumenty na základě vládou schválené Koncepce zavádění metody BIM v České republice. Zhotovitel nepředepisuje použití konkrétního SW a SW </w:t>
      </w:r>
      <w:proofErr w:type="spellStart"/>
      <w:r w:rsidRPr="00DA73DE">
        <w:rPr>
          <w:rFonts w:eastAsia="Calibri" w:cs="Times New Roman"/>
          <w:b/>
          <w:lang w:eastAsia="cs-CZ"/>
        </w:rPr>
        <w:t>Revit</w:t>
      </w:r>
      <w:proofErr w:type="spellEnd"/>
      <w:r w:rsidRPr="00DA73DE">
        <w:rPr>
          <w:rFonts w:eastAsia="Calibri" w:cs="Times New Roman"/>
          <w:b/>
          <w:lang w:eastAsia="cs-CZ"/>
        </w:rPr>
        <w:t xml:space="preserve"> není pro zpracování Díla nezbytný.</w:t>
      </w:r>
    </w:p>
    <w:p w14:paraId="2ADAEAB9" w14:textId="77777777" w:rsidR="001D7FA7" w:rsidRPr="00BD5319" w:rsidRDefault="001D7FA7" w:rsidP="001D7FA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24F9195" w14:textId="16F01260" w:rsidR="00BD09EC" w:rsidRDefault="00BD09E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FD99FC" w14:textId="77777777" w:rsidR="00E97D0D" w:rsidRPr="00263B71" w:rsidRDefault="00E97D0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818791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63B71">
        <w:rPr>
          <w:rFonts w:eastAsia="Times New Roman" w:cs="Times New Roman"/>
          <w:lang w:eastAsia="cs-CZ"/>
        </w:rPr>
        <w:t xml:space="preserve">Vzhledem ke skutečnosti, že bylo provedeno pouze </w:t>
      </w:r>
      <w:r w:rsidRPr="00263B71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263B71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573AA8E1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6DAC77" w14:textId="77777777" w:rsidR="00BD09EC" w:rsidRPr="00263B71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63B7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A7DF3DA" w14:textId="77777777" w:rsidR="00BD09EC" w:rsidRPr="00BD5319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5FF7BC" w14:textId="0875F731" w:rsidR="00BD09EC" w:rsidRPr="00BD5319" w:rsidRDefault="00BD09EC" w:rsidP="00BD09EC">
      <w:pPr>
        <w:spacing w:after="0" w:line="240" w:lineRule="auto"/>
        <w:rPr>
          <w:rFonts w:eastAsia="Times New Roman" w:cs="Times New Roman"/>
          <w:lang w:eastAsia="cs-CZ"/>
        </w:rPr>
      </w:pPr>
    </w:p>
    <w:p w14:paraId="68AFD98F" w14:textId="77777777" w:rsidR="00BD09EC" w:rsidRPr="00BD5319" w:rsidRDefault="00BD09EC" w:rsidP="00BD09E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D3A433A" w14:textId="77777777" w:rsidR="00BD09EC" w:rsidRPr="00BD5319" w:rsidRDefault="00BD09EC" w:rsidP="00BD09E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12B10C7" w14:textId="77777777" w:rsidR="00DA73DE" w:rsidRDefault="00DA73DE" w:rsidP="00DA73DE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Přílohy:</w:t>
      </w:r>
    </w:p>
    <w:p w14:paraId="2C2F81AE" w14:textId="77777777" w:rsidR="00DA73DE" w:rsidRDefault="00DA73DE" w:rsidP="00DA73DE">
      <w:pPr>
        <w:pStyle w:val="Odstavecseseznamem"/>
        <w:numPr>
          <w:ilvl w:val="0"/>
          <w:numId w:val="11"/>
        </w:num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 č.1_HMG</w:t>
      </w:r>
    </w:p>
    <w:p w14:paraId="358EAC74" w14:textId="77777777" w:rsidR="00DA73DE" w:rsidRDefault="00DA73DE" w:rsidP="00DA73DE">
      <w:pPr>
        <w:pStyle w:val="Odstavecseseznamem"/>
        <w:numPr>
          <w:ilvl w:val="0"/>
          <w:numId w:val="11"/>
        </w:num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 č.2_B.8</w:t>
      </w:r>
    </w:p>
    <w:p w14:paraId="3D7AB97B" w14:textId="77777777" w:rsidR="00DA73DE" w:rsidRDefault="00DA73DE" w:rsidP="00DA73DE">
      <w:pPr>
        <w:pStyle w:val="Odstavecseseznamem"/>
        <w:numPr>
          <w:ilvl w:val="0"/>
          <w:numId w:val="11"/>
        </w:num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 č.3_Smlouvy</w:t>
      </w:r>
    </w:p>
    <w:p w14:paraId="282A6745" w14:textId="77777777" w:rsidR="00DA73DE" w:rsidRPr="00B31C4D" w:rsidRDefault="00DA73DE" w:rsidP="00DA73DE">
      <w:pPr>
        <w:pStyle w:val="Odstavecseseznamem"/>
        <w:numPr>
          <w:ilvl w:val="0"/>
          <w:numId w:val="11"/>
        </w:num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 č.4_SP</w:t>
      </w:r>
    </w:p>
    <w:p w14:paraId="156DA467" w14:textId="77777777" w:rsidR="00E97D0D" w:rsidRDefault="00E97D0D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347D0B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A8D244" w14:textId="77777777" w:rsidR="00EE27ED" w:rsidRDefault="00EE27E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1B9C1B" w14:textId="77777777" w:rsidR="00E97D0D" w:rsidRDefault="00E97D0D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11DACD" w14:textId="23EFAF0F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603A79C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21445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3DB146" w14:textId="36C7A7C0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7B46B2" w14:textId="77777777" w:rsidR="001D7FA7" w:rsidRDefault="001D7FA7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4EC246" w14:textId="37A4F701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EA4C218" w14:textId="538EF02C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A0AEA3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EC6882C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162CD3C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6685B0E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5FAFF5A" w14:textId="01F5CB00" w:rsidR="00BD5319" w:rsidRPr="00BD5319" w:rsidRDefault="00BD09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389FA949" w14:textId="0007909B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02E1894" w14:textId="39D8EF08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43AA" w14:textId="77777777" w:rsidR="00BF650E" w:rsidRDefault="00BF650E" w:rsidP="00962258">
      <w:pPr>
        <w:spacing w:after="0" w:line="240" w:lineRule="auto"/>
      </w:pPr>
      <w:r>
        <w:separator/>
      </w:r>
    </w:p>
  </w:endnote>
  <w:endnote w:type="continuationSeparator" w:id="0">
    <w:p w14:paraId="24F9CEF7" w14:textId="77777777" w:rsidR="00BF650E" w:rsidRDefault="00BF65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EEA6C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2EA1BE" w14:textId="0B85560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D9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D9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FFD73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FD64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FC73AE" w14:textId="77777777" w:rsidR="00F1715C" w:rsidRDefault="00F1715C" w:rsidP="00D831A3">
          <w:pPr>
            <w:pStyle w:val="Zpat"/>
          </w:pPr>
        </w:p>
      </w:tc>
    </w:tr>
  </w:tbl>
  <w:p w14:paraId="61815F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EC97D3" wp14:editId="45894B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6DE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2CC7C4" wp14:editId="33F886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E14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BC8F1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082E30" w14:textId="5BDF3C2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D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D9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0B45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57248D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6129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68346E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5441FE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188B0C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3F3275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23965B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F00C66B" w14:textId="77777777" w:rsidR="00712ED1" w:rsidRDefault="00712ED1" w:rsidP="00331004">
          <w:pPr>
            <w:pStyle w:val="Zpat"/>
          </w:pPr>
        </w:p>
      </w:tc>
    </w:tr>
  </w:tbl>
  <w:p w14:paraId="36D2A7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85F470" wp14:editId="21FF2B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11B11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2B29CA" wp14:editId="73EF0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A64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6268D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0D4F" w14:textId="77777777" w:rsidR="00BF650E" w:rsidRDefault="00BF650E" w:rsidP="00962258">
      <w:pPr>
        <w:spacing w:after="0" w:line="240" w:lineRule="auto"/>
      </w:pPr>
      <w:r>
        <w:separator/>
      </w:r>
    </w:p>
  </w:footnote>
  <w:footnote w:type="continuationSeparator" w:id="0">
    <w:p w14:paraId="4E4AB11B" w14:textId="77777777" w:rsidR="00BF650E" w:rsidRDefault="00BF65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2B35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E737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57FC5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799A8F" w14:textId="77777777" w:rsidR="00F1715C" w:rsidRPr="00D6163D" w:rsidRDefault="00F1715C" w:rsidP="00D6163D">
          <w:pPr>
            <w:pStyle w:val="Druhdokumentu"/>
          </w:pPr>
        </w:p>
      </w:tc>
    </w:tr>
  </w:tbl>
  <w:p w14:paraId="67BF52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B11E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7473F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3C082D" wp14:editId="7A12838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34DDD4A" wp14:editId="4D2F3FB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282CA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91A0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B3EEC1" w14:textId="77777777" w:rsidR="00F1715C" w:rsidRPr="00D6163D" w:rsidRDefault="00F1715C" w:rsidP="00FC6389">
          <w:pPr>
            <w:pStyle w:val="Druhdokumentu"/>
          </w:pPr>
        </w:p>
      </w:tc>
    </w:tr>
    <w:tr w:rsidR="00F64786" w14:paraId="737776E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44B39DD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F7B6C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2C459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919076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8AC3589" wp14:editId="718E8B6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B252A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03D0C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427B60"/>
    <w:multiLevelType w:val="hybridMultilevel"/>
    <w:tmpl w:val="CA469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1C1C8A"/>
    <w:multiLevelType w:val="hybridMultilevel"/>
    <w:tmpl w:val="256CF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366B1"/>
    <w:multiLevelType w:val="hybridMultilevel"/>
    <w:tmpl w:val="A0882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4F22BE9"/>
    <w:multiLevelType w:val="hybridMultilevel"/>
    <w:tmpl w:val="6C86D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D2D4A"/>
    <w:rsid w:val="001063D7"/>
    <w:rsid w:val="00114472"/>
    <w:rsid w:val="00135D95"/>
    <w:rsid w:val="00170EC5"/>
    <w:rsid w:val="001747C1"/>
    <w:rsid w:val="00181030"/>
    <w:rsid w:val="0018596A"/>
    <w:rsid w:val="001A2F02"/>
    <w:rsid w:val="001B69C2"/>
    <w:rsid w:val="001C0C2F"/>
    <w:rsid w:val="001C4DA0"/>
    <w:rsid w:val="001D7FA7"/>
    <w:rsid w:val="00207DF5"/>
    <w:rsid w:val="00263B71"/>
    <w:rsid w:val="00267369"/>
    <w:rsid w:val="0026785D"/>
    <w:rsid w:val="002C31BF"/>
    <w:rsid w:val="002E0CD7"/>
    <w:rsid w:val="002F026B"/>
    <w:rsid w:val="002F2B51"/>
    <w:rsid w:val="00347A19"/>
    <w:rsid w:val="00357BC6"/>
    <w:rsid w:val="0037111D"/>
    <w:rsid w:val="003756B9"/>
    <w:rsid w:val="003956C6"/>
    <w:rsid w:val="003C08F6"/>
    <w:rsid w:val="003E6B9A"/>
    <w:rsid w:val="003E75CE"/>
    <w:rsid w:val="00411BB5"/>
    <w:rsid w:val="0041380F"/>
    <w:rsid w:val="00435008"/>
    <w:rsid w:val="004412F4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2E97"/>
    <w:rsid w:val="006A5570"/>
    <w:rsid w:val="006A689C"/>
    <w:rsid w:val="006B3D79"/>
    <w:rsid w:val="006E0578"/>
    <w:rsid w:val="006E3013"/>
    <w:rsid w:val="006E314D"/>
    <w:rsid w:val="006E7F06"/>
    <w:rsid w:val="006F712F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0B41"/>
    <w:rsid w:val="0077673A"/>
    <w:rsid w:val="007846E1"/>
    <w:rsid w:val="007B570C"/>
    <w:rsid w:val="007C1155"/>
    <w:rsid w:val="007E4A6E"/>
    <w:rsid w:val="007F56A7"/>
    <w:rsid w:val="008055CB"/>
    <w:rsid w:val="00807DD0"/>
    <w:rsid w:val="00813F11"/>
    <w:rsid w:val="00856DFA"/>
    <w:rsid w:val="00891334"/>
    <w:rsid w:val="008A3568"/>
    <w:rsid w:val="008A5D3A"/>
    <w:rsid w:val="008D03B9"/>
    <w:rsid w:val="008E2EEA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1006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D76CD"/>
    <w:rsid w:val="00AE1DDE"/>
    <w:rsid w:val="00B15B5E"/>
    <w:rsid w:val="00B15D0D"/>
    <w:rsid w:val="00B23CA3"/>
    <w:rsid w:val="00B3491A"/>
    <w:rsid w:val="00B45E9E"/>
    <w:rsid w:val="00B55F9C"/>
    <w:rsid w:val="00B56767"/>
    <w:rsid w:val="00B75EE1"/>
    <w:rsid w:val="00B77481"/>
    <w:rsid w:val="00B8518B"/>
    <w:rsid w:val="00BB3740"/>
    <w:rsid w:val="00BD09EC"/>
    <w:rsid w:val="00BD5319"/>
    <w:rsid w:val="00BD7E91"/>
    <w:rsid w:val="00BF374D"/>
    <w:rsid w:val="00BF650E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600C"/>
    <w:rsid w:val="00D21061"/>
    <w:rsid w:val="00D316A7"/>
    <w:rsid w:val="00D356DC"/>
    <w:rsid w:val="00D4108E"/>
    <w:rsid w:val="00D6163D"/>
    <w:rsid w:val="00D63009"/>
    <w:rsid w:val="00D831A3"/>
    <w:rsid w:val="00D902AD"/>
    <w:rsid w:val="00DA6FFE"/>
    <w:rsid w:val="00DA73DE"/>
    <w:rsid w:val="00DC3110"/>
    <w:rsid w:val="00DD46F3"/>
    <w:rsid w:val="00DD58A6"/>
    <w:rsid w:val="00DD7FC1"/>
    <w:rsid w:val="00DE56F2"/>
    <w:rsid w:val="00DF116D"/>
    <w:rsid w:val="00E10710"/>
    <w:rsid w:val="00E77367"/>
    <w:rsid w:val="00E824F1"/>
    <w:rsid w:val="00E97D0D"/>
    <w:rsid w:val="00EB104F"/>
    <w:rsid w:val="00ED14BD"/>
    <w:rsid w:val="00EE27E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1C5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DABF79"/>
  <w14:defaultImageDpi w14:val="32767"/>
  <w15:docId w15:val="{A4571628-A175-43BB-BC32-365E0D4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1D7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2-2">
    <w:name w:val="_Nadpis_2-2"/>
    <w:basedOn w:val="Normln"/>
    <w:rsid w:val="001D7FA7"/>
    <w:pPr>
      <w:keepNext/>
      <w:numPr>
        <w:ilvl w:val="1"/>
        <w:numId w:val="9"/>
      </w:numPr>
      <w:spacing w:before="200" w:after="120"/>
    </w:pPr>
    <w:rPr>
      <w:rFonts w:ascii="Verdana" w:hAnsi="Verdana" w:cs="Times New Roman"/>
      <w:b/>
      <w:bCs/>
      <w:sz w:val="20"/>
      <w:szCs w:val="20"/>
    </w:rPr>
  </w:style>
  <w:style w:type="paragraph" w:customStyle="1" w:styleId="Nadpis2-1">
    <w:name w:val="_Nadpis_2-1"/>
    <w:basedOn w:val="Normln"/>
    <w:rsid w:val="001D7FA7"/>
    <w:pPr>
      <w:keepNext/>
      <w:numPr>
        <w:numId w:val="9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1D7FA7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1D7FA7"/>
    <w:pPr>
      <w:numPr>
        <w:ilvl w:val="2"/>
        <w:numId w:val="9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1D7FA7"/>
    <w:pPr>
      <w:numPr>
        <w:ilvl w:val="3"/>
        <w:numId w:val="9"/>
      </w:numPr>
      <w:spacing w:after="120"/>
      <w:jc w:val="both"/>
    </w:pPr>
    <w:rPr>
      <w:rFonts w:ascii="Verdana" w:hAnsi="Verdana" w:cs="Times New Roman"/>
    </w:rPr>
  </w:style>
  <w:style w:type="character" w:customStyle="1" w:styleId="Tun">
    <w:name w:val="_Tučně"/>
    <w:basedOn w:val="Standardnpsmoodstavce"/>
    <w:rsid w:val="001D7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658DA5-45FF-4281-8BA2-6CFC9416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8</Pages>
  <Words>1541</Words>
  <Characters>9096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23</cp:revision>
  <cp:lastPrinted>2022-05-23T11:20:00Z</cp:lastPrinted>
  <dcterms:created xsi:type="dcterms:W3CDTF">2022-05-13T10:11:00Z</dcterms:created>
  <dcterms:modified xsi:type="dcterms:W3CDTF">2022-06-01T12:01:00Z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